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279" w:rsidRPr="00F96213" w:rsidRDefault="00750F62" w:rsidP="00C62099">
      <w:pPr>
        <w:pStyle w:val="Untertitel"/>
        <w:spacing w:after="0" w:line="300" w:lineRule="exact"/>
        <w:jc w:val="both"/>
        <w:rPr>
          <w:rFonts w:cstheme="minorHAnsi"/>
          <w:b/>
          <w:bCs/>
          <w:color w:val="FF0000"/>
          <w:sz w:val="28"/>
          <w:szCs w:val="28"/>
        </w:rPr>
      </w:pPr>
      <w:r>
        <w:rPr>
          <w:rFonts w:cstheme="minorHAnsi"/>
          <w:b/>
          <w:bCs/>
          <w:color w:val="FF0000"/>
          <w:sz w:val="28"/>
          <w:szCs w:val="28"/>
        </w:rPr>
        <w:t>8. Die Zeit zwischen Trauerfeier in kleinem Kreis und öffentlichem Totengedenken</w:t>
      </w:r>
    </w:p>
    <w:p w:rsidR="00C62099" w:rsidRPr="004F5192" w:rsidRDefault="00C62099" w:rsidP="00C62099">
      <w:pPr>
        <w:spacing w:after="0" w:line="300" w:lineRule="exact"/>
        <w:jc w:val="both"/>
        <w:rPr>
          <w:rFonts w:cstheme="minorHAnsi"/>
        </w:rPr>
      </w:pPr>
    </w:p>
    <w:p w:rsidR="00732224" w:rsidRPr="00732224" w:rsidRDefault="00732224" w:rsidP="00732224">
      <w:pPr>
        <w:spacing w:after="0" w:line="300" w:lineRule="exact"/>
        <w:jc w:val="both"/>
        <w:rPr>
          <w:rFonts w:cstheme="minorHAnsi"/>
          <w:i/>
          <w:iCs/>
        </w:rPr>
      </w:pPr>
      <w:r w:rsidRPr="00732224">
        <w:rPr>
          <w:rFonts w:cstheme="minorHAnsi"/>
          <w:i/>
          <w:iCs/>
        </w:rPr>
        <w:t xml:space="preserve">Möglichkeiten, Gedenkorte zu schaffen und mit Trauernden im Kontakt zu bleiben, die gut von Haupt- und Ehrenamtlichen umzusetzen sind. </w:t>
      </w:r>
    </w:p>
    <w:p w:rsidR="00732224" w:rsidRPr="00732224" w:rsidRDefault="00732224" w:rsidP="00732224">
      <w:pPr>
        <w:spacing w:after="0" w:line="300" w:lineRule="exact"/>
        <w:jc w:val="both"/>
        <w:rPr>
          <w:rFonts w:cstheme="minorHAnsi"/>
          <w:b/>
        </w:rPr>
      </w:pPr>
    </w:p>
    <w:p w:rsidR="00732224" w:rsidRPr="00732224" w:rsidRDefault="00732224" w:rsidP="00732224">
      <w:pPr>
        <w:spacing w:after="0" w:line="300" w:lineRule="exact"/>
        <w:jc w:val="both"/>
        <w:rPr>
          <w:rFonts w:cstheme="minorHAnsi"/>
          <w:b/>
        </w:rPr>
      </w:pPr>
      <w:r w:rsidRPr="00732224">
        <w:rPr>
          <w:rFonts w:cstheme="minorHAnsi"/>
          <w:b/>
        </w:rPr>
        <w:t>Gedenkorte</w:t>
      </w:r>
    </w:p>
    <w:p w:rsidR="00732224" w:rsidRPr="00732224" w:rsidRDefault="00732224" w:rsidP="00732224">
      <w:pPr>
        <w:spacing w:after="0" w:line="300" w:lineRule="exact"/>
        <w:jc w:val="both"/>
        <w:rPr>
          <w:rFonts w:cstheme="minorHAnsi"/>
          <w:bCs/>
        </w:rPr>
      </w:pPr>
      <w:r w:rsidRPr="00732224">
        <w:rPr>
          <w:rFonts w:cstheme="minorHAnsi"/>
          <w:bCs/>
        </w:rPr>
        <w:t xml:space="preserve">Am Eingang des Friedhofs oder in der Kirche können Gedenkorte geschaffen werden, die unterschiedlich gestaltet werden können. In der Kirche beispielsweise ist eine Nische mit Tisch, Kerzen und Fotos der Verstorbenen denkbar. Solche Gedenknischen geben den Verstorbenen einen Ort und Zusammenhang. Sie überbrücken die Zeit zwischen den kleinen Trauerfeiern bis hin zu den öffentlichen Gedenkfeiern. </w:t>
      </w:r>
    </w:p>
    <w:p w:rsidR="00732224" w:rsidRPr="00732224" w:rsidRDefault="00732224" w:rsidP="00732224">
      <w:pPr>
        <w:spacing w:after="0" w:line="300" w:lineRule="exact"/>
        <w:jc w:val="both"/>
        <w:rPr>
          <w:rFonts w:cstheme="minorHAnsi"/>
          <w:b/>
        </w:rPr>
      </w:pPr>
    </w:p>
    <w:p w:rsidR="00732224" w:rsidRPr="00732224" w:rsidRDefault="00732224" w:rsidP="00732224">
      <w:pPr>
        <w:spacing w:after="0" w:line="300" w:lineRule="exact"/>
        <w:jc w:val="both"/>
        <w:rPr>
          <w:rFonts w:cstheme="minorHAnsi"/>
          <w:b/>
          <w:bCs/>
          <w:iCs/>
        </w:rPr>
      </w:pPr>
      <w:r w:rsidRPr="00732224">
        <w:rPr>
          <w:rFonts w:cstheme="minorHAnsi"/>
          <w:b/>
          <w:bCs/>
          <w:iCs/>
        </w:rPr>
        <w:t>Emmausgespräche</w:t>
      </w:r>
    </w:p>
    <w:p w:rsidR="00732224" w:rsidRPr="00732224" w:rsidRDefault="00732224" w:rsidP="00732224">
      <w:pPr>
        <w:spacing w:after="0" w:line="300" w:lineRule="exact"/>
        <w:jc w:val="both"/>
        <w:rPr>
          <w:rFonts w:cstheme="minorHAnsi"/>
        </w:rPr>
      </w:pPr>
      <w:r w:rsidRPr="00732224">
        <w:rPr>
          <w:rFonts w:cstheme="minorHAnsi"/>
        </w:rPr>
        <w:t xml:space="preserve">So wie es im Vorfeld verschiedene Formen eines Trauergesprächs geben wird, kann man sich – wenn es die Situation zu lässt – zu einem „Nachgespräch“ zu zweit treffen. Mancher Pfarrgarten ist groß. Ein Gespräch mit ein wenig Abstand zum Geschehen und zwischen den Beteiligten ist möglich. </w:t>
      </w:r>
    </w:p>
    <w:p w:rsidR="00732224" w:rsidRPr="00732224" w:rsidRDefault="00732224" w:rsidP="00732224">
      <w:pPr>
        <w:spacing w:after="0" w:line="300" w:lineRule="exact"/>
        <w:jc w:val="both"/>
        <w:rPr>
          <w:rFonts w:cstheme="minorHAnsi"/>
        </w:rPr>
      </w:pPr>
      <w:r w:rsidRPr="00732224">
        <w:rPr>
          <w:rFonts w:cstheme="minorHAnsi"/>
        </w:rPr>
        <w:t xml:space="preserve">Daneben sind mediale Formen denkbar, wie Telefonate, Emails, Video-Chats – mit einzelnen oder mehreren Personen der Trauerfamilie. Den Chat kann oft jemand aus der Familie organisieren.   </w:t>
      </w:r>
    </w:p>
    <w:p w:rsidR="00732224" w:rsidRPr="00732224" w:rsidRDefault="00732224" w:rsidP="00732224">
      <w:pPr>
        <w:spacing w:after="0" w:line="300" w:lineRule="exact"/>
        <w:jc w:val="both"/>
        <w:rPr>
          <w:rFonts w:cstheme="minorHAnsi"/>
        </w:rPr>
      </w:pPr>
      <w:r w:rsidRPr="00732224">
        <w:rPr>
          <w:rFonts w:cstheme="minorHAnsi"/>
        </w:rPr>
        <w:t>Die Zwischenzeit kann als Chance gesehen werden, die Trauerarbeit zu begleiten und Anregungen zu geben. Denkbar sind kleine Rituale, die helfen, die Zeit zu strukturieren, etwa jeweils in der Woche am Sterbetag ein Gebet zu sprechen. Es können Texte zur Trauer ebenso weitergegeben werden wie auch digitale Hoffnungsbotschaften, beispielsweise Audiofiles mit Orgelmusik aus der Ortskirche und Lesung eines Textes oder Gedichts.</w:t>
      </w:r>
    </w:p>
    <w:p w:rsidR="00732224" w:rsidRPr="00732224" w:rsidRDefault="00732224" w:rsidP="00732224">
      <w:pPr>
        <w:spacing w:after="0" w:line="300" w:lineRule="exact"/>
        <w:jc w:val="both"/>
        <w:rPr>
          <w:rFonts w:cstheme="minorHAnsi"/>
          <w:b/>
        </w:rPr>
      </w:pPr>
    </w:p>
    <w:p w:rsidR="00732224" w:rsidRPr="00732224" w:rsidRDefault="00732224" w:rsidP="00732224">
      <w:pPr>
        <w:spacing w:after="0" w:line="300" w:lineRule="exact"/>
        <w:jc w:val="both"/>
        <w:rPr>
          <w:rFonts w:cstheme="minorHAnsi"/>
          <w:b/>
          <w:bCs/>
          <w:iCs/>
        </w:rPr>
      </w:pPr>
      <w:r w:rsidRPr="00732224">
        <w:rPr>
          <w:rFonts w:cstheme="minorHAnsi"/>
          <w:b/>
          <w:bCs/>
          <w:iCs/>
        </w:rPr>
        <w:t xml:space="preserve">Ins Buch des Lebens geschrieben </w:t>
      </w:r>
    </w:p>
    <w:p w:rsidR="00732224" w:rsidRPr="00732224" w:rsidRDefault="00732224" w:rsidP="00732224">
      <w:pPr>
        <w:spacing w:after="0" w:line="300" w:lineRule="exact"/>
        <w:jc w:val="both"/>
        <w:rPr>
          <w:rFonts w:cstheme="minorHAnsi"/>
        </w:rPr>
      </w:pPr>
      <w:r w:rsidRPr="00732224">
        <w:rPr>
          <w:rFonts w:cstheme="minorHAnsi"/>
        </w:rPr>
        <w:t xml:space="preserve">In der offenen Kirche liegt ein Gedenkbuch für die Verstorbenen aus. Dort können die Angehörigen, die Familie, die Kinder das Buch mitgestalten bzw. gibt es vorgefertigte Blätter, die sie gestalten können und in die Kirche bringen: ein Bild einkleben und den Trauervers aufschreiben. Jede, die kommt, kann eine Bitte eintragen. </w:t>
      </w:r>
    </w:p>
    <w:p w:rsidR="00732224" w:rsidRPr="00732224" w:rsidRDefault="00732224" w:rsidP="00732224">
      <w:pPr>
        <w:spacing w:after="0" w:line="300" w:lineRule="exact"/>
        <w:jc w:val="both"/>
        <w:rPr>
          <w:rFonts w:cstheme="minorHAnsi"/>
          <w:b/>
        </w:rPr>
      </w:pPr>
      <w:r w:rsidRPr="00732224">
        <w:rPr>
          <w:rFonts w:cstheme="minorHAnsi"/>
        </w:rPr>
        <w:t xml:space="preserve">In manchen Kirchen ist ohnehin die Möglichkeit vorhanden, eine Kerze anzuzünden bzw. ein Ort für ein „ewiges Licht“ oder für eine Blume. Diese Möglichkeiten könnte man nutzen oder neu schaffen. </w:t>
      </w:r>
    </w:p>
    <w:p w:rsidR="00732224" w:rsidRPr="00732224" w:rsidRDefault="00732224" w:rsidP="00732224">
      <w:pPr>
        <w:spacing w:after="0" w:line="300" w:lineRule="exact"/>
        <w:jc w:val="both"/>
        <w:rPr>
          <w:rFonts w:cstheme="minorHAnsi"/>
          <w:b/>
        </w:rPr>
      </w:pPr>
    </w:p>
    <w:p w:rsidR="00732224" w:rsidRPr="00732224" w:rsidRDefault="00732224" w:rsidP="00732224">
      <w:pPr>
        <w:spacing w:after="0" w:line="300" w:lineRule="exact"/>
        <w:jc w:val="both"/>
        <w:rPr>
          <w:rFonts w:cstheme="minorHAnsi"/>
          <w:b/>
          <w:bCs/>
          <w:iCs/>
        </w:rPr>
      </w:pPr>
      <w:r w:rsidRPr="00732224">
        <w:rPr>
          <w:rFonts w:cstheme="minorHAnsi"/>
          <w:b/>
          <w:bCs/>
          <w:iCs/>
        </w:rPr>
        <w:t xml:space="preserve">Ich habe dich bei deinem Namen gerufen </w:t>
      </w:r>
    </w:p>
    <w:p w:rsidR="00732224" w:rsidRPr="00732224" w:rsidRDefault="00732224" w:rsidP="00732224">
      <w:pPr>
        <w:spacing w:after="0" w:line="300" w:lineRule="exact"/>
        <w:jc w:val="both"/>
        <w:rPr>
          <w:rFonts w:cstheme="minorHAnsi"/>
        </w:rPr>
      </w:pPr>
      <w:r w:rsidRPr="00732224">
        <w:rPr>
          <w:rFonts w:cstheme="minorHAnsi"/>
        </w:rPr>
        <w:t xml:space="preserve">Je nach Situation in den kommenden 40 Tagen oder 7 Wochen werden die Namen der Verstorbenen verlässlich von jemandem in der Kirche im Ort gelesen (KV, Lektor, Prädikant, Pfarrerin). Nicht, damit andere dazukommen, sondern wissend, dass sie jemand stellvertretend vor Gott bringt. </w:t>
      </w:r>
    </w:p>
    <w:p w:rsidR="00732224" w:rsidRPr="00732224" w:rsidRDefault="00732224" w:rsidP="00732224">
      <w:pPr>
        <w:spacing w:after="0" w:line="300" w:lineRule="exact"/>
        <w:jc w:val="both"/>
        <w:rPr>
          <w:rFonts w:cstheme="minorHAnsi"/>
          <w:b/>
        </w:rPr>
      </w:pPr>
    </w:p>
    <w:p w:rsidR="00732224" w:rsidRPr="00732224" w:rsidRDefault="00732224" w:rsidP="00732224">
      <w:pPr>
        <w:spacing w:after="0" w:line="300" w:lineRule="exact"/>
        <w:jc w:val="both"/>
        <w:rPr>
          <w:rFonts w:cstheme="minorHAnsi"/>
          <w:b/>
          <w:bCs/>
          <w:iCs/>
        </w:rPr>
      </w:pPr>
      <w:r w:rsidRPr="00732224">
        <w:rPr>
          <w:rFonts w:cstheme="minorHAnsi"/>
          <w:b/>
          <w:bCs/>
          <w:iCs/>
        </w:rPr>
        <w:t>Totengedenken ohne Gemeinde</w:t>
      </w:r>
    </w:p>
    <w:p w:rsidR="00732224" w:rsidRPr="00732224" w:rsidRDefault="00732224" w:rsidP="00732224">
      <w:pPr>
        <w:spacing w:after="0" w:line="300" w:lineRule="exact"/>
        <w:jc w:val="both"/>
        <w:rPr>
          <w:rFonts w:cstheme="minorHAnsi"/>
        </w:rPr>
      </w:pPr>
      <w:r w:rsidRPr="00732224">
        <w:rPr>
          <w:rFonts w:cstheme="minorHAnsi"/>
        </w:rPr>
        <w:t xml:space="preserve">Falls die Situation entsteht, dass keine kirchliche Trauerfeier stattfinden darf oder Angehörige nicht bei der Bestattung teilnehmen können bzw. dürfen, und es eine hohe Anzahl an Verstorbenen gibt ist eine Gedenkfeier für mehrere (dem Ewigkeitssonntag vergleichbar) denkbar. </w:t>
      </w:r>
    </w:p>
    <w:p w:rsidR="00732224" w:rsidRPr="00732224" w:rsidRDefault="00732224" w:rsidP="00732224">
      <w:pPr>
        <w:numPr>
          <w:ilvl w:val="0"/>
          <w:numId w:val="2"/>
        </w:numPr>
        <w:spacing w:after="0" w:line="300" w:lineRule="exact"/>
        <w:contextualSpacing/>
        <w:jc w:val="both"/>
        <w:rPr>
          <w:rFonts w:cstheme="minorHAnsi"/>
        </w:rPr>
      </w:pPr>
      <w:r w:rsidRPr="00732224">
        <w:rPr>
          <w:rFonts w:cstheme="minorHAnsi"/>
        </w:rPr>
        <w:t xml:space="preserve">Gottesdienst mit Musik, Psalm, Lesung, Gebet und Segen. </w:t>
      </w:r>
    </w:p>
    <w:p w:rsidR="00732224" w:rsidRPr="00732224" w:rsidRDefault="00732224" w:rsidP="00732224">
      <w:pPr>
        <w:numPr>
          <w:ilvl w:val="0"/>
          <w:numId w:val="2"/>
        </w:numPr>
        <w:spacing w:after="0" w:line="300" w:lineRule="exact"/>
        <w:contextualSpacing/>
        <w:jc w:val="both"/>
        <w:rPr>
          <w:rFonts w:cstheme="minorHAnsi"/>
        </w:rPr>
      </w:pPr>
      <w:r w:rsidRPr="00732224">
        <w:rPr>
          <w:rFonts w:cstheme="minorHAnsi"/>
        </w:rPr>
        <w:t xml:space="preserve">Verlesen der Namen der Verstorbenen </w:t>
      </w:r>
    </w:p>
    <w:p w:rsidR="00732224" w:rsidRPr="00732224" w:rsidRDefault="00732224" w:rsidP="00732224">
      <w:pPr>
        <w:numPr>
          <w:ilvl w:val="0"/>
          <w:numId w:val="2"/>
        </w:numPr>
        <w:spacing w:after="0" w:line="300" w:lineRule="exact"/>
        <w:contextualSpacing/>
        <w:jc w:val="both"/>
        <w:rPr>
          <w:rFonts w:cstheme="minorHAnsi"/>
        </w:rPr>
      </w:pPr>
      <w:r w:rsidRPr="00732224">
        <w:rPr>
          <w:rFonts w:cstheme="minorHAnsi"/>
        </w:rPr>
        <w:t xml:space="preserve">Entzünden von Kerzen </w:t>
      </w:r>
    </w:p>
    <w:p w:rsidR="00732224" w:rsidRPr="00732224" w:rsidRDefault="00732224" w:rsidP="00732224">
      <w:pPr>
        <w:numPr>
          <w:ilvl w:val="0"/>
          <w:numId w:val="2"/>
        </w:numPr>
        <w:spacing w:after="0" w:line="300" w:lineRule="exact"/>
        <w:contextualSpacing/>
        <w:jc w:val="both"/>
        <w:rPr>
          <w:rFonts w:cstheme="minorHAnsi"/>
        </w:rPr>
      </w:pPr>
      <w:r w:rsidRPr="00732224">
        <w:rPr>
          <w:rFonts w:cstheme="minorHAnsi"/>
        </w:rPr>
        <w:t xml:space="preserve">Videoaufnahme des Gottesdienstes  </w:t>
      </w:r>
    </w:p>
    <w:p w:rsidR="00732224" w:rsidRPr="00732224" w:rsidRDefault="00732224" w:rsidP="00732224">
      <w:pPr>
        <w:spacing w:after="0" w:line="300" w:lineRule="exact"/>
        <w:jc w:val="both"/>
        <w:rPr>
          <w:rFonts w:cstheme="minorHAnsi"/>
        </w:rPr>
      </w:pPr>
      <w:bookmarkStart w:id="0" w:name="_GoBack"/>
      <w:bookmarkEnd w:id="0"/>
    </w:p>
    <w:p w:rsidR="00732224" w:rsidRPr="00732224" w:rsidRDefault="00732224" w:rsidP="00732224">
      <w:pPr>
        <w:spacing w:after="0" w:line="300" w:lineRule="exact"/>
        <w:jc w:val="both"/>
        <w:rPr>
          <w:rFonts w:cstheme="minorHAnsi"/>
        </w:rPr>
      </w:pPr>
    </w:p>
    <w:p w:rsidR="00732224" w:rsidRPr="00732224" w:rsidRDefault="00732224" w:rsidP="00732224">
      <w:pPr>
        <w:spacing w:after="0" w:line="300" w:lineRule="exact"/>
        <w:jc w:val="both"/>
        <w:rPr>
          <w:rFonts w:cstheme="minorHAnsi"/>
          <w:b/>
          <w:bCs/>
          <w:iCs/>
        </w:rPr>
      </w:pPr>
      <w:r w:rsidRPr="00732224">
        <w:rPr>
          <w:rFonts w:cstheme="minorHAnsi"/>
          <w:b/>
          <w:bCs/>
          <w:iCs/>
        </w:rPr>
        <w:t xml:space="preserve">Fotos von der Trauerfeier machen </w:t>
      </w:r>
    </w:p>
    <w:p w:rsidR="00732224" w:rsidRPr="00732224" w:rsidRDefault="00732224" w:rsidP="00732224">
      <w:pPr>
        <w:spacing w:after="0" w:line="300" w:lineRule="exact"/>
        <w:jc w:val="both"/>
        <w:rPr>
          <w:rFonts w:cstheme="minorHAnsi"/>
        </w:rPr>
      </w:pPr>
      <w:r w:rsidRPr="00732224">
        <w:rPr>
          <w:rFonts w:cstheme="minorHAnsi"/>
        </w:rPr>
        <w:t xml:space="preserve">Die Bestatter bitten, was ja ohnehin oft geschieht, sofern es mit der Trauerfamilie besprochen ist, dass Fotos gemacht werden. </w:t>
      </w:r>
    </w:p>
    <w:p w:rsidR="00732224" w:rsidRPr="00732224" w:rsidRDefault="00732224" w:rsidP="00732224">
      <w:pPr>
        <w:spacing w:after="0" w:line="300" w:lineRule="exact"/>
        <w:jc w:val="both"/>
        <w:rPr>
          <w:rFonts w:cstheme="minorHAnsi"/>
          <w:i/>
        </w:rPr>
      </w:pPr>
    </w:p>
    <w:p w:rsidR="00732224" w:rsidRPr="00732224" w:rsidRDefault="00732224" w:rsidP="00732224">
      <w:pPr>
        <w:spacing w:after="0" w:line="300" w:lineRule="exact"/>
        <w:jc w:val="both"/>
        <w:rPr>
          <w:rFonts w:cstheme="minorHAnsi"/>
          <w:b/>
          <w:bCs/>
          <w:iCs/>
        </w:rPr>
      </w:pPr>
      <w:r w:rsidRPr="00732224">
        <w:rPr>
          <w:rFonts w:cstheme="minorHAnsi"/>
          <w:b/>
          <w:bCs/>
          <w:iCs/>
        </w:rPr>
        <w:t xml:space="preserve">Webseiten zum Weitergeben </w:t>
      </w:r>
    </w:p>
    <w:p w:rsidR="00732224" w:rsidRPr="00732224" w:rsidRDefault="00732224" w:rsidP="00732224">
      <w:pPr>
        <w:spacing w:after="0" w:line="300" w:lineRule="exact"/>
        <w:jc w:val="both"/>
        <w:rPr>
          <w:rFonts w:cstheme="minorHAnsi"/>
        </w:rPr>
      </w:pPr>
      <w:r w:rsidRPr="00732224">
        <w:rPr>
          <w:rFonts w:cstheme="minorHAnsi"/>
        </w:rPr>
        <w:t xml:space="preserve">Eine Seite der EKD zum Thema Trauer und Gedenken: </w:t>
      </w:r>
      <w:hyperlink r:id="rId7" w:history="1">
        <w:r w:rsidRPr="00732224">
          <w:rPr>
            <w:rFonts w:cstheme="minorHAnsi"/>
            <w:color w:val="0563C1" w:themeColor="hyperlink"/>
            <w:u w:val="single"/>
          </w:rPr>
          <w:t>www.trauernetz.de</w:t>
        </w:r>
      </w:hyperlink>
    </w:p>
    <w:p w:rsidR="00732224" w:rsidRPr="00732224" w:rsidRDefault="00732224" w:rsidP="00732224">
      <w:pPr>
        <w:spacing w:after="0" w:line="300" w:lineRule="exact"/>
        <w:jc w:val="both"/>
        <w:rPr>
          <w:rFonts w:cstheme="minorHAnsi"/>
        </w:rPr>
      </w:pPr>
      <w:r w:rsidRPr="00732224">
        <w:t xml:space="preserve">Ein </w:t>
      </w:r>
      <w:r w:rsidRPr="00732224">
        <w:rPr>
          <w:rFonts w:cstheme="minorHAnsi"/>
        </w:rPr>
        <w:t xml:space="preserve">Blog zum Gedenken als Umgang mit der Trauer: </w:t>
      </w:r>
      <w:hyperlink r:id="rId8" w:history="1">
        <w:r w:rsidRPr="00732224">
          <w:rPr>
            <w:rFonts w:cstheme="minorHAnsi"/>
            <w:color w:val="0563C1" w:themeColor="hyperlink"/>
            <w:u w:val="single"/>
          </w:rPr>
          <w:t>https://totenhemd.wordpress.com</w:t>
        </w:r>
      </w:hyperlink>
    </w:p>
    <w:p w:rsidR="00732224" w:rsidRPr="00732224" w:rsidRDefault="00732224" w:rsidP="00732224">
      <w:pPr>
        <w:spacing w:after="0" w:line="300" w:lineRule="exact"/>
        <w:jc w:val="both"/>
        <w:rPr>
          <w:rFonts w:cstheme="minorHAnsi"/>
        </w:rPr>
      </w:pPr>
    </w:p>
    <w:p w:rsidR="00732224" w:rsidRPr="00732224" w:rsidRDefault="00732224" w:rsidP="00732224">
      <w:pPr>
        <w:spacing w:after="0" w:line="300" w:lineRule="exact"/>
        <w:jc w:val="both"/>
        <w:rPr>
          <w:rFonts w:cstheme="minorHAnsi"/>
          <w:b/>
          <w:bCs/>
          <w:iCs/>
        </w:rPr>
      </w:pPr>
      <w:r w:rsidRPr="00732224">
        <w:rPr>
          <w:rFonts w:cstheme="minorHAnsi"/>
          <w:b/>
          <w:bCs/>
          <w:iCs/>
        </w:rPr>
        <w:t>Virtuelle Gedenkstätte</w:t>
      </w:r>
    </w:p>
    <w:p w:rsidR="00732224" w:rsidRPr="00732224" w:rsidRDefault="00732224" w:rsidP="00732224">
      <w:pPr>
        <w:spacing w:after="0"/>
        <w:jc w:val="both"/>
      </w:pPr>
      <w:r w:rsidRPr="00732224">
        <w:t xml:space="preserve">Auf dieser Seite </w:t>
      </w:r>
      <w:hyperlink r:id="rId9" w:history="1">
        <w:r w:rsidRPr="00732224">
          <w:rPr>
            <w:color w:val="0563C1" w:themeColor="hyperlink"/>
            <w:u w:val="single"/>
          </w:rPr>
          <w:t>https://gedenkseiten.trauernetz.de</w:t>
        </w:r>
      </w:hyperlink>
      <w:r w:rsidRPr="00732224">
        <w:t xml:space="preserve"> können öffentliche oder private Gedenkseiten für Verstorbene eingerichtet werden. Andere können Beileidsbekundungen auf einer bereits bestehenden Gedenkseite ausdrücken und andere Gedenkseiten ansehen.</w:t>
      </w:r>
    </w:p>
    <w:p w:rsidR="004F5192" w:rsidRDefault="004F5192" w:rsidP="00C62099">
      <w:pPr>
        <w:spacing w:after="0" w:line="300" w:lineRule="exact"/>
        <w:jc w:val="both"/>
        <w:rPr>
          <w:rFonts w:cstheme="minorHAnsi"/>
        </w:rPr>
      </w:pPr>
    </w:p>
    <w:p w:rsidR="00732224" w:rsidRPr="004F5192" w:rsidRDefault="00732224" w:rsidP="00C62099">
      <w:pPr>
        <w:spacing w:after="0" w:line="300" w:lineRule="exact"/>
        <w:jc w:val="both"/>
        <w:rPr>
          <w:rFonts w:cstheme="minorHAnsi"/>
        </w:rPr>
      </w:pPr>
    </w:p>
    <w:sectPr w:rsidR="00732224" w:rsidRPr="004F51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F2" w:rsidRDefault="00EE71F2" w:rsidP="00F96213">
      <w:pPr>
        <w:spacing w:after="0" w:line="240" w:lineRule="auto"/>
      </w:pPr>
      <w:r>
        <w:separator/>
      </w:r>
    </w:p>
  </w:endnote>
  <w:endnote w:type="continuationSeparator" w:id="0">
    <w:p w:rsidR="00EE71F2" w:rsidRDefault="00EE71F2" w:rsidP="00F9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F2" w:rsidRDefault="00EE71F2" w:rsidP="00F96213">
      <w:pPr>
        <w:spacing w:after="0" w:line="240" w:lineRule="auto"/>
      </w:pPr>
      <w:r>
        <w:separator/>
      </w:r>
    </w:p>
  </w:footnote>
  <w:footnote w:type="continuationSeparator" w:id="0">
    <w:p w:rsidR="00EE71F2" w:rsidRDefault="00EE71F2" w:rsidP="00F96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4855"/>
    <w:multiLevelType w:val="hybridMultilevel"/>
    <w:tmpl w:val="DFFE9FC2"/>
    <w:lvl w:ilvl="0" w:tplc="48343F0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E968B8"/>
    <w:multiLevelType w:val="hybridMultilevel"/>
    <w:tmpl w:val="E842CECC"/>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F64BDD"/>
    <w:multiLevelType w:val="hybridMultilevel"/>
    <w:tmpl w:val="C334336A"/>
    <w:lvl w:ilvl="0" w:tplc="551EFA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D45AD2"/>
    <w:multiLevelType w:val="hybridMultilevel"/>
    <w:tmpl w:val="C9EACBF4"/>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79"/>
    <w:rsid w:val="0002027C"/>
    <w:rsid w:val="00100BC2"/>
    <w:rsid w:val="0025213E"/>
    <w:rsid w:val="00294B35"/>
    <w:rsid w:val="002F7859"/>
    <w:rsid w:val="00310279"/>
    <w:rsid w:val="00355FA5"/>
    <w:rsid w:val="003953BC"/>
    <w:rsid w:val="003A61AC"/>
    <w:rsid w:val="003B12EF"/>
    <w:rsid w:val="00416D66"/>
    <w:rsid w:val="004A2CAF"/>
    <w:rsid w:val="004F5192"/>
    <w:rsid w:val="005B0A38"/>
    <w:rsid w:val="005E4A61"/>
    <w:rsid w:val="006C2E54"/>
    <w:rsid w:val="00732224"/>
    <w:rsid w:val="00750F62"/>
    <w:rsid w:val="00791605"/>
    <w:rsid w:val="00870A27"/>
    <w:rsid w:val="008C2EBD"/>
    <w:rsid w:val="00A01968"/>
    <w:rsid w:val="00A94EBF"/>
    <w:rsid w:val="00AF1748"/>
    <w:rsid w:val="00B82F92"/>
    <w:rsid w:val="00BF4F3A"/>
    <w:rsid w:val="00C42A42"/>
    <w:rsid w:val="00C62099"/>
    <w:rsid w:val="00CA4FA2"/>
    <w:rsid w:val="00D358DA"/>
    <w:rsid w:val="00DF7B29"/>
    <w:rsid w:val="00EB39AC"/>
    <w:rsid w:val="00EE71F2"/>
    <w:rsid w:val="00F96213"/>
    <w:rsid w:val="00FD3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2056"/>
  <w15:chartTrackingRefBased/>
  <w15:docId w15:val="{314FA1E1-97F0-4DE2-B1DC-F9A177F0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53BC"/>
    <w:pPr>
      <w:ind w:left="720"/>
      <w:contextualSpacing/>
    </w:pPr>
  </w:style>
  <w:style w:type="paragraph" w:styleId="Untertitel">
    <w:name w:val="Subtitle"/>
    <w:basedOn w:val="Standard"/>
    <w:next w:val="Standard"/>
    <w:link w:val="UntertitelZchn"/>
    <w:uiPriority w:val="11"/>
    <w:qFormat/>
    <w:rsid w:val="00C6209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62099"/>
    <w:rPr>
      <w:rFonts w:eastAsiaTheme="minorEastAsia"/>
      <w:color w:val="5A5A5A" w:themeColor="text1" w:themeTint="A5"/>
      <w:spacing w:val="15"/>
    </w:rPr>
  </w:style>
  <w:style w:type="character" w:styleId="Hyperlink">
    <w:name w:val="Hyperlink"/>
    <w:basedOn w:val="Absatz-Standardschriftart"/>
    <w:uiPriority w:val="99"/>
    <w:unhideWhenUsed/>
    <w:rsid w:val="004F5192"/>
    <w:rPr>
      <w:color w:val="0563C1" w:themeColor="hyperlink"/>
      <w:u w:val="single"/>
    </w:rPr>
  </w:style>
  <w:style w:type="character" w:styleId="NichtaufgelsteErwhnung">
    <w:name w:val="Unresolved Mention"/>
    <w:basedOn w:val="Absatz-Standardschriftart"/>
    <w:uiPriority w:val="99"/>
    <w:semiHidden/>
    <w:unhideWhenUsed/>
    <w:rsid w:val="004F5192"/>
    <w:rPr>
      <w:color w:val="605E5C"/>
      <w:shd w:val="clear" w:color="auto" w:fill="E1DFDD"/>
    </w:rPr>
  </w:style>
  <w:style w:type="paragraph" w:styleId="Kopfzeile">
    <w:name w:val="header"/>
    <w:basedOn w:val="Standard"/>
    <w:link w:val="KopfzeileZchn"/>
    <w:uiPriority w:val="99"/>
    <w:unhideWhenUsed/>
    <w:rsid w:val="00F96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213"/>
  </w:style>
  <w:style w:type="paragraph" w:styleId="Fuzeile">
    <w:name w:val="footer"/>
    <w:basedOn w:val="Standard"/>
    <w:link w:val="FuzeileZchn"/>
    <w:uiPriority w:val="99"/>
    <w:unhideWhenUsed/>
    <w:rsid w:val="00F96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9837">
      <w:bodyDiv w:val="1"/>
      <w:marLeft w:val="0"/>
      <w:marRight w:val="0"/>
      <w:marTop w:val="0"/>
      <w:marBottom w:val="0"/>
      <w:divBdr>
        <w:top w:val="none" w:sz="0" w:space="0" w:color="auto"/>
        <w:left w:val="none" w:sz="0" w:space="0" w:color="auto"/>
        <w:bottom w:val="none" w:sz="0" w:space="0" w:color="auto"/>
        <w:right w:val="none" w:sz="0" w:space="0" w:color="auto"/>
      </w:divBdr>
      <w:divsChild>
        <w:div w:id="1590772654">
          <w:marLeft w:val="0"/>
          <w:marRight w:val="0"/>
          <w:marTop w:val="0"/>
          <w:marBottom w:val="0"/>
          <w:divBdr>
            <w:top w:val="none" w:sz="0" w:space="0" w:color="auto"/>
            <w:left w:val="none" w:sz="0" w:space="0" w:color="auto"/>
            <w:bottom w:val="none" w:sz="0" w:space="0" w:color="auto"/>
            <w:right w:val="none" w:sz="0" w:space="0" w:color="auto"/>
          </w:divBdr>
          <w:divsChild>
            <w:div w:id="1910966318">
              <w:marLeft w:val="0"/>
              <w:marRight w:val="0"/>
              <w:marTop w:val="0"/>
              <w:marBottom w:val="0"/>
              <w:divBdr>
                <w:top w:val="none" w:sz="0" w:space="0" w:color="auto"/>
                <w:left w:val="none" w:sz="0" w:space="0" w:color="auto"/>
                <w:bottom w:val="none" w:sz="0" w:space="0" w:color="auto"/>
                <w:right w:val="none" w:sz="0" w:space="0" w:color="auto"/>
              </w:divBdr>
              <w:divsChild>
                <w:div w:id="6633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enhemd.wordpress.com" TargetMode="External"/><Relationship Id="rId3" Type="http://schemas.openxmlformats.org/officeDocument/2006/relationships/settings" Target="settings.xml"/><Relationship Id="rId7" Type="http://schemas.openxmlformats.org/officeDocument/2006/relationships/hyperlink" Target="http://www.trauerne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denkseiten.trauerne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Hillebold, Lars</dc:creator>
  <cp:keywords/>
  <dc:description/>
  <cp:lastModifiedBy>Lutz Friedrichs</cp:lastModifiedBy>
  <cp:revision>4</cp:revision>
  <dcterms:created xsi:type="dcterms:W3CDTF">2020-03-30T17:48:00Z</dcterms:created>
  <dcterms:modified xsi:type="dcterms:W3CDTF">2020-03-31T18:24:00Z</dcterms:modified>
</cp:coreProperties>
</file>